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黑体" w:hAnsi="黑体" w:cs="黑体" w:eastAsia="黑体"/>
          <w:color w:val="000000"/>
          <w:spacing w:val="0"/>
          <w:position w:val="0"/>
          <w:sz w:val="30"/>
          <w:shd w:fill="auto" w:val="clear"/>
        </w:rPr>
      </w:pPr>
      <w:r>
        <w:rPr>
          <w:rFonts w:ascii="黑体" w:hAnsi="黑体" w:cs="黑体" w:eastAsia="黑体"/>
          <w:color w:val="000000"/>
          <w:spacing w:val="0"/>
          <w:position w:val="0"/>
          <w:sz w:val="30"/>
          <w:shd w:fill="auto" w:val="clear"/>
        </w:rPr>
        <w:t xml:space="preserve">授权委托书</w:t>
      </w:r>
    </w:p>
    <w:tbl>
      <w:tblPr/>
      <w:tblGrid>
        <w:gridCol w:w="817"/>
        <w:gridCol w:w="4864"/>
        <w:gridCol w:w="2841"/>
      </w:tblGrid>
      <w:tr>
        <w:trPr>
          <w:trHeight w:val="105" w:hRule="auto"/>
          <w:jc w:val="left"/>
        </w:trPr>
        <w:tc>
          <w:tcPr>
            <w:tcW w:w="85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200" w:firstLine="31680"/>
              <w:jc w:val="left"/>
              <w:rPr>
                <w:spacing w:val="0"/>
                <w:position w:val="0"/>
                <w:shd w:fill="auto" w:val="clear"/>
              </w:rPr>
            </w:pPr>
            <w:r>
              <w:rPr>
                <w:rFonts w:ascii="宋体" w:hAnsi="宋体" w:cs="宋体" w:eastAsia="宋体"/>
                <w:color w:val="000000"/>
                <w:spacing w:val="0"/>
                <w:position w:val="0"/>
                <w:sz w:val="24"/>
                <w:shd w:fill="auto" w:val="clear"/>
              </w:rPr>
              <w:t xml:space="preserve">兹委托</w:t>
            </w:r>
            <w:r>
              <w:rPr>
                <w:rFonts w:ascii="Times New Roman" w:hAnsi="Times New Roman" w:cs="Times New Roman" w:eastAsia="Times New Roman"/>
                <w:color w:val="000000"/>
                <w:spacing w:val="0"/>
                <w:position w:val="0"/>
                <w:sz w:val="24"/>
                <w:shd w:fill="auto" w:val="clear"/>
              </w:rPr>
              <w:t xml:space="preserve">______________</w:t>
            </w:r>
            <w:r>
              <w:rPr>
                <w:rFonts w:ascii="宋体" w:hAnsi="宋体" w:cs="宋体" w:eastAsia="宋体"/>
                <w:color w:val="000000"/>
                <w:spacing w:val="0"/>
                <w:position w:val="0"/>
                <w:sz w:val="24"/>
                <w:shd w:fill="auto" w:val="clear"/>
              </w:rPr>
              <w:t xml:space="preserve">先生</w:t>
            </w:r>
            <w:r>
              <w:rPr>
                <w:rFonts w:ascii="Times New Roman" w:hAnsi="Times New Roman" w:cs="Times New Roman" w:eastAsia="Times New Roman"/>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女士（身份证号：                        ）代表本人出席通化万通药业股份有限公司</w:t>
            </w:r>
            <w:r>
              <w:rPr>
                <w:rFonts w:ascii="Times New Roman" w:hAnsi="Times New Roman" w:cs="Times New Roman" w:eastAsia="Times New Roman"/>
                <w:color w:val="000000"/>
                <w:spacing w:val="0"/>
                <w:position w:val="0"/>
                <w:sz w:val="24"/>
                <w:shd w:fill="auto" w:val="clear"/>
              </w:rPr>
              <w:t xml:space="preserve">2016</w:t>
            </w:r>
            <w:r>
              <w:rPr>
                <w:rFonts w:ascii="宋体" w:hAnsi="宋体" w:cs="宋体" w:eastAsia="宋体"/>
                <w:color w:val="000000"/>
                <w:spacing w:val="0"/>
                <w:position w:val="0"/>
                <w:sz w:val="24"/>
                <w:shd w:fill="auto" w:val="clear"/>
              </w:rPr>
              <w:t xml:space="preserve">年年度股东大会，并以本人名义依照以下指示对下列议案投票。授权委托的有效期为自本授权委托书签署之日至本次股东大会结束。</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序号</w:t>
            </w: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议案名称</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表决情况</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《&lt;通化万通药业股份有限公司2016年年度报告&gt;及摘要》</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《通化万通药业股份有限公司2016年度董事会工作报告》</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《通化万通药业股份有限公司2016年度监事会工作报告》</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1"/>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《通化万通药业股份有限公司2016年度财务决算报告》</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《通化万通药业股份有限公司2017年度财务预算报告》</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9"/>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《通化万通药业股份有限公司2016年度利润分配方案》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《关于聘请公司2017年度审计机构的议案》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7"/>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《通化万通药业股份有限公司章程》</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1"/>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《通化万通药业股份有限公司股东大会议事规则》</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5"/>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《通化万通药业股份有限公司董事会议事规则》</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9"/>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《通化万通药业股份有限公司监事会议事规则》</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3"/>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《通化万通药业股份有限公司独立董事工作制度》</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7"/>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《通化万通药业股份有限公司关联交易决策制度》</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1"/>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《通化万通药业股份有限公司累积投票制度》</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5"/>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《通化万通药业股份有限公司投资者关系管理制度》</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0"/>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《通化万通药业股份有限公司防范控股股东、实际控制人及关联方资金占用制度的议案》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4"/>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宋体" w:hAnsi="宋体" w:cs="宋体" w:eastAsia="宋体"/>
                <w:color w:val="000000"/>
                <w:spacing w:val="0"/>
                <w:position w:val="0"/>
                <w:sz w:val="24"/>
                <w:shd w:fill="auto" w:val="clear"/>
              </w:rPr>
              <w:t xml:space="preserve">《通化万通药业股份有限公司</w:t>
            </w:r>
            <w:r>
              <w:rPr>
                <w:rFonts w:ascii="times new noman" w:hAnsi="times new noman" w:cs="times new noman" w:eastAsia="times new noman"/>
                <w:color w:val="000000"/>
                <w:spacing w:val="0"/>
                <w:position w:val="0"/>
                <w:sz w:val="24"/>
                <w:shd w:fill="auto" w:val="clear"/>
              </w:rPr>
              <w:t xml:space="preserve">控股股东、实际控制人行为规范</w:t>
            </w:r>
            <w:r>
              <w:rPr>
                <w:rFonts w:ascii="宋体" w:hAnsi="宋体" w:cs="宋体" w:eastAsia="宋体"/>
                <w:color w:val="000000"/>
                <w:spacing w:val="0"/>
                <w:position w:val="0"/>
                <w:sz w:val="24"/>
                <w:shd w:fill="auto" w:val="clear"/>
              </w:rPr>
              <w:t xml:space="preserve">》</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0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8"/>
              </w:numPr>
              <w:spacing w:before="0" w:after="0" w:line="360"/>
              <w:ind w:right="0" w:left="284" w:hanging="284"/>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《选举通化万通药业股份有限公司第二届董事会董事成员的议案》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董事：潘首德</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董事：潘</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巍</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董事：潘一杭</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董事：王佩林</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480"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董事：龚云雷</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董事：陈  凯</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独立董事：张宗生</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独立董事：睢大筼</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独立董事：钱忠直</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1"/>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《选举通化万通药业股份有限公司第二届监事会监事成员的议案》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监事：王海涛</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监事：王永君</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监事：石学娟</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监事：李  颖</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420" w:firstLine="0"/>
              <w:jc w:val="left"/>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监事：张  伟</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投票数：           股</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7"/>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《关于通化万通药业股份有限公司董事、监事津贴标准的议案》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1"/>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《关于公司拟向厦门建发新兴产业股权投资叁号合伙企业（有限合伙）发行股份的议案》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5"/>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《通化万通药业股份有限公司章程（草案）》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9"/>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《关于公司拟向中国证券监督管理委员会申请纳入非上市公众公司监管的议案》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3"/>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93" w:leader="none"/>
              </w:tabs>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《关于转让北京永定药业有限公司股权的议案》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7"/>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《关于授权董事会办理与公司修订公司章程、定向发行股份等相关具体事宜的议案》</w:t>
            </w: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赞成 </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反对</w:t>
            </w:r>
            <w:r>
              <w:rPr>
                <w:rFonts w:ascii="Segoe UI Symbol" w:hAnsi="Segoe UI Symbol" w:cs="Segoe UI Symbol" w:eastAsia="Segoe UI Symbol"/>
                <w:color w:val="000000"/>
                <w:spacing w:val="0"/>
                <w:position w:val="0"/>
                <w:sz w:val="24"/>
                <w:shd w:fill="auto" w:val="clear"/>
              </w:rPr>
              <w:t xml:space="preserve">□</w:t>
            </w:r>
            <w:r>
              <w:rPr>
                <w:rFonts w:ascii="宋体" w:hAnsi="宋体" w:cs="宋体" w:eastAsia="宋体"/>
                <w:color w:val="000000"/>
                <w:spacing w:val="0"/>
                <w:position w:val="0"/>
                <w:sz w:val="24"/>
                <w:shd w:fill="auto" w:val="clear"/>
              </w:rPr>
              <w:t xml:space="preserve">弃权</w:t>
            </w:r>
          </w:p>
        </w:tc>
      </w:tr>
      <w:tr>
        <w:trPr>
          <w:trHeight w:val="1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1"/>
              </w:numPr>
              <w:spacing w:before="0" w:after="0" w:line="360"/>
              <w:ind w:right="0" w:left="420" w:hanging="420"/>
              <w:jc w:val="center"/>
              <w:rPr>
                <w:rFonts w:ascii="宋体" w:hAnsi="宋体" w:cs="宋体" w:eastAsia="宋体"/>
                <w:color w:val="auto"/>
                <w:spacing w:val="0"/>
                <w:position w:val="0"/>
                <w:sz w:val="22"/>
                <w:shd w:fill="auto" w:val="clear"/>
              </w:rPr>
            </w:pPr>
          </w:p>
        </w:tc>
        <w:tc>
          <w:tcPr>
            <w:tcW w:w="4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z w:val="22"/>
                <w:shd w:fill="auto" w:val="clear"/>
              </w:rPr>
            </w:pPr>
          </w:p>
        </w:tc>
        <w:tc>
          <w:tcPr>
            <w:tcW w:w="2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说明：</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（1）委托人接受受托人的指示，对除议案18、议案19外其他议案表决时，以在同意、反对、弃权前方的方框中打“</w:t>
      </w:r>
      <w:r>
        <w:rPr>
          <w:rFonts w:ascii="Cambria Math" w:hAnsi="Cambria Math" w:cs="Cambria Math" w:eastAsia="Cambria Math"/>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为准，每一议案限选一项，对同一审议事项不得有两项或多项指示。</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（2）委托人接受受托人的指示，对议案18、议案19表决时，采用累计投票方式（详见附件：《采用累积投票制选举董事、独立董事和监事的投票方式说明》）。</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（3）其它符号、同时填多项或不填的视同弃权统计。</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spacing w:before="0" w:after="0" w:line="36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（签章页）</w:t>
      </w:r>
    </w:p>
    <w:p>
      <w:pPr>
        <w:spacing w:before="0" w:after="0" w:line="360"/>
        <w:ind w:right="0" w:left="0" w:firstLine="0"/>
        <w:jc w:val="left"/>
        <w:rPr>
          <w:rFonts w:ascii="宋体" w:hAnsi="宋体" w:cs="宋体" w:eastAsia="宋体"/>
          <w:color w:val="000000"/>
          <w:spacing w:val="0"/>
          <w:position w:val="0"/>
          <w:sz w:val="24"/>
          <w:shd w:fill="auto" w:val="clear"/>
        </w:rPr>
      </w:pPr>
    </w:p>
    <w:p>
      <w:pPr>
        <w:spacing w:before="0" w:after="0" w:line="36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委托人：</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 （非自然人股东需盖章）</w:t>
      </w:r>
    </w:p>
    <w:p>
      <w:pPr>
        <w:spacing w:before="0" w:after="0" w:line="36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委托人持股数量：</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 股</w:t>
      </w:r>
    </w:p>
    <w:p>
      <w:pPr>
        <w:spacing w:before="0" w:after="0" w:line="36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身份证（营业执照号码）：</w:t>
      </w:r>
      <w:r>
        <w:rPr>
          <w:rFonts w:ascii="宋体" w:hAnsi="宋体" w:cs="宋体" w:eastAsia="宋体"/>
          <w:color w:val="000000"/>
          <w:spacing w:val="0"/>
          <w:position w:val="0"/>
          <w:sz w:val="24"/>
          <w:u w:val="single"/>
          <w:shd w:fill="auto" w:val="clear"/>
        </w:rPr>
        <w:t xml:space="preserve">                                      </w:t>
      </w:r>
    </w:p>
    <w:p>
      <w:pPr>
        <w:spacing w:before="0" w:after="0" w:line="360"/>
        <w:ind w:right="0" w:left="0" w:firstLine="0"/>
        <w:jc w:val="left"/>
        <w:rPr>
          <w:rFonts w:ascii="宋体" w:hAnsi="宋体" w:cs="宋体" w:eastAsia="宋体"/>
          <w:color w:val="000000"/>
          <w:spacing w:val="0"/>
          <w:position w:val="0"/>
          <w:sz w:val="24"/>
          <w:shd w:fill="auto" w:val="clear"/>
        </w:rPr>
      </w:pPr>
    </w:p>
    <w:p>
      <w:pPr>
        <w:spacing w:before="0" w:after="0" w:line="360"/>
        <w:ind w:right="0" w:left="200" w:firstLine="31680"/>
        <w:jc w:val="righ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委托日期：</w:t>
      </w:r>
      <w:r>
        <w:rPr>
          <w:rFonts w:ascii="Times New Roman" w:hAnsi="Times New Roman" w:cs="Times New Roman" w:eastAsia="Times New Roman"/>
          <w:color w:val="000000"/>
          <w:spacing w:val="0"/>
          <w:position w:val="0"/>
          <w:sz w:val="24"/>
          <w:shd w:fill="auto" w:val="clear"/>
        </w:rPr>
        <w:t xml:space="preserve">2017</w:t>
      </w:r>
      <w:r>
        <w:rPr>
          <w:rFonts w:ascii="宋体" w:hAnsi="宋体" w:cs="宋体" w:eastAsia="宋体"/>
          <w:color w:val="000000"/>
          <w:spacing w:val="0"/>
          <w:position w:val="0"/>
          <w:sz w:val="24"/>
          <w:shd w:fill="auto" w:val="clear"/>
        </w:rPr>
        <w:t xml:space="preserve">年    月    日 </w:t>
      </w:r>
    </w:p>
    <w:p>
      <w:pPr>
        <w:widowControl w:val="false"/>
        <w:spacing w:before="0" w:after="0" w:line="24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附件：</w:t>
      </w:r>
      <w:r>
        <w:rPr>
          <w:rFonts w:ascii="宋体" w:hAnsi="宋体" w:cs="宋体" w:eastAsia="宋体"/>
          <w:b/>
          <w:color w:val="auto"/>
          <w:spacing w:val="0"/>
          <w:position w:val="0"/>
          <w:sz w:val="24"/>
          <w:shd w:fill="auto" w:val="clear"/>
        </w:rPr>
        <w:t xml:space="preserve">《采用累积投票制选举董事、独立董事和监事的投票方式说明》</w:t>
      </w:r>
    </w:p>
    <w:p>
      <w:pPr>
        <w:spacing w:before="0" w:after="0" w:line="360"/>
        <w:ind w:right="0" w:left="200" w:firstLine="3168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一、股东大会董事候选人选举、独立董事候选人选举、监事会候选人选举作为议案组分别进行编号。投资者应针对各议案组下每位候选人进行投票。</w:t>
      </w:r>
    </w:p>
    <w:p>
      <w:pPr>
        <w:spacing w:before="0" w:after="0" w:line="360"/>
        <w:ind w:right="0" w:left="200" w:firstLine="3168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二、持股股数代表选举票数。对于每个议案组，股东每持有一股即拥有与该议案组下应选董事或监事人数相等的投票总数。如某股东持有上市公司</w:t>
      </w:r>
      <w:r>
        <w:rPr>
          <w:rFonts w:ascii="Times New Roman" w:hAnsi="Times New Roman" w:cs="Times New Roman" w:eastAsia="Times New Roman"/>
          <w:color w:val="auto"/>
          <w:spacing w:val="0"/>
          <w:position w:val="0"/>
          <w:sz w:val="24"/>
          <w:shd w:fill="auto" w:val="clear"/>
        </w:rPr>
        <w:t xml:space="preserve"> 100 </w:t>
      </w:r>
      <w:r>
        <w:rPr>
          <w:rFonts w:ascii="宋体" w:hAnsi="宋体" w:cs="宋体" w:eastAsia="宋体"/>
          <w:color w:val="auto"/>
          <w:spacing w:val="0"/>
          <w:position w:val="0"/>
          <w:sz w:val="24"/>
          <w:shd w:fill="auto" w:val="clear"/>
        </w:rPr>
        <w:t xml:space="preserve">股股票，该次股东大会应选董事</w:t>
      </w:r>
      <w:r>
        <w:rPr>
          <w:rFonts w:ascii="Times New Roman" w:hAnsi="Times New Roman" w:cs="Times New Roman" w:eastAsia="Times New Roman"/>
          <w:color w:val="auto"/>
          <w:spacing w:val="0"/>
          <w:position w:val="0"/>
          <w:sz w:val="24"/>
          <w:shd w:fill="auto" w:val="clear"/>
        </w:rPr>
        <w:t xml:space="preserve"> 10 </w:t>
      </w:r>
      <w:r>
        <w:rPr>
          <w:rFonts w:ascii="宋体" w:hAnsi="宋体" w:cs="宋体" w:eastAsia="宋体"/>
          <w:color w:val="auto"/>
          <w:spacing w:val="0"/>
          <w:position w:val="0"/>
          <w:sz w:val="24"/>
          <w:shd w:fill="auto" w:val="clear"/>
        </w:rPr>
        <w:t xml:space="preserve">名，董事候选人有</w:t>
      </w:r>
      <w:r>
        <w:rPr>
          <w:rFonts w:ascii="Times New Roman" w:hAnsi="Times New Roman" w:cs="Times New Roman" w:eastAsia="Times New Roman"/>
          <w:color w:val="auto"/>
          <w:spacing w:val="0"/>
          <w:position w:val="0"/>
          <w:sz w:val="24"/>
          <w:shd w:fill="auto" w:val="clear"/>
        </w:rPr>
        <w:t xml:space="preserve"> 12 </w:t>
      </w:r>
      <w:r>
        <w:rPr>
          <w:rFonts w:ascii="宋体" w:hAnsi="宋体" w:cs="宋体" w:eastAsia="宋体"/>
          <w:color w:val="auto"/>
          <w:spacing w:val="0"/>
          <w:position w:val="0"/>
          <w:sz w:val="24"/>
          <w:shd w:fill="auto" w:val="clear"/>
        </w:rPr>
        <w:t xml:space="preserve">名，则该股东对于董事会选举议案组，拥有</w:t>
      </w:r>
      <w:r>
        <w:rPr>
          <w:rFonts w:ascii="Times New Roman" w:hAnsi="Times New Roman" w:cs="Times New Roman" w:eastAsia="Times New Roman"/>
          <w:color w:val="auto"/>
          <w:spacing w:val="0"/>
          <w:position w:val="0"/>
          <w:sz w:val="24"/>
          <w:shd w:fill="auto" w:val="clear"/>
        </w:rPr>
        <w:t xml:space="preserve"> 1000 </w:t>
      </w:r>
      <w:r>
        <w:rPr>
          <w:rFonts w:ascii="宋体" w:hAnsi="宋体" w:cs="宋体" w:eastAsia="宋体"/>
          <w:color w:val="auto"/>
          <w:spacing w:val="0"/>
          <w:position w:val="0"/>
          <w:sz w:val="24"/>
          <w:shd w:fill="auto" w:val="clear"/>
        </w:rPr>
        <w:t xml:space="preserve">股的选举票数。</w:t>
      </w:r>
    </w:p>
    <w:p>
      <w:pPr>
        <w:spacing w:before="0" w:after="0" w:line="360"/>
        <w:ind w:right="0" w:left="200" w:firstLine="3168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三、股东应以每个议案组的选举票数为限进行投票。股东根据自己的意愿进行投票，既可以把选举票数集中投给某一候选人，也可以按照任意组合投给不同的候选人。投票结束后，对每一项议案分别累积计算得票数。</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num w:numId="9">
    <w:abstractNumId w:val="150"/>
  </w:num>
  <w:num w:numId="13">
    <w:abstractNumId w:val="144"/>
  </w:num>
  <w:num w:numId="17">
    <w:abstractNumId w:val="138"/>
  </w:num>
  <w:num w:numId="21">
    <w:abstractNumId w:val="132"/>
  </w:num>
  <w:num w:numId="25">
    <w:abstractNumId w:val="126"/>
  </w:num>
  <w:num w:numId="29">
    <w:abstractNumId w:val="120"/>
  </w:num>
  <w:num w:numId="33">
    <w:abstractNumId w:val="114"/>
  </w:num>
  <w:num w:numId="37">
    <w:abstractNumId w:val="108"/>
  </w:num>
  <w:num w:numId="41">
    <w:abstractNumId w:val="102"/>
  </w:num>
  <w:num w:numId="45">
    <w:abstractNumId w:val="96"/>
  </w:num>
  <w:num w:numId="49">
    <w:abstractNumId w:val="90"/>
  </w:num>
  <w:num w:numId="53">
    <w:abstractNumId w:val="84"/>
  </w:num>
  <w:num w:numId="57">
    <w:abstractNumId w:val="78"/>
  </w:num>
  <w:num w:numId="61">
    <w:abstractNumId w:val="72"/>
  </w:num>
  <w:num w:numId="65">
    <w:abstractNumId w:val="66"/>
  </w:num>
  <w:num w:numId="70">
    <w:abstractNumId w:val="60"/>
  </w:num>
  <w:num w:numId="74">
    <w:abstractNumId w:val="54"/>
  </w:num>
  <w:num w:numId="78">
    <w:abstractNumId w:val="48"/>
  </w:num>
  <w:num w:numId="121">
    <w:abstractNumId w:val="42"/>
  </w:num>
  <w:num w:numId="147">
    <w:abstractNumId w:val="36"/>
  </w:num>
  <w:num w:numId="151">
    <w:abstractNumId w:val="30"/>
  </w:num>
  <w:num w:numId="155">
    <w:abstractNumId w:val="24"/>
  </w:num>
  <w:num w:numId="159">
    <w:abstractNumId w:val="18"/>
  </w:num>
  <w:num w:numId="163">
    <w:abstractNumId w:val="12"/>
  </w:num>
  <w:num w:numId="167">
    <w:abstractNumId w:val="6"/>
  </w:num>
  <w:num w:numId="17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